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1AF7" w14:textId="5FE826C5" w:rsidR="00CE1A8C" w:rsidRDefault="00CE1A8C" w:rsidP="00F81200">
      <w:pPr>
        <w:rPr>
          <w:sz w:val="36"/>
          <w:szCs w:val="36"/>
        </w:rPr>
      </w:pPr>
    </w:p>
    <w:p w14:paraId="359322EA" w14:textId="77777777" w:rsidR="00CE1A8C" w:rsidRPr="00CE1A8C" w:rsidRDefault="00CE1A8C" w:rsidP="00CE1A8C">
      <w:pPr>
        <w:jc w:val="center"/>
        <w:rPr>
          <w:sz w:val="36"/>
          <w:szCs w:val="36"/>
        </w:rPr>
      </w:pPr>
      <w:r w:rsidRPr="00CE1A8C">
        <w:rPr>
          <w:sz w:val="36"/>
          <w:szCs w:val="36"/>
        </w:rPr>
        <w:t>A Zrínyi Zöldút</w:t>
      </w:r>
    </w:p>
    <w:p w14:paraId="1F669AF9" w14:textId="0B12882B" w:rsidR="00CE1A8C" w:rsidRDefault="00CE1A8C" w:rsidP="00F647C2">
      <w:pPr>
        <w:jc w:val="center"/>
        <w:rPr>
          <w:sz w:val="36"/>
          <w:szCs w:val="36"/>
        </w:rPr>
      </w:pPr>
      <w:r w:rsidRPr="00CE1A8C">
        <w:rPr>
          <w:sz w:val="36"/>
          <w:szCs w:val="36"/>
        </w:rPr>
        <w:t>minőségbiztosítási kézikönyve</w:t>
      </w:r>
    </w:p>
    <w:p w14:paraId="3E5412EE" w14:textId="77777777" w:rsidR="00CE1A8C" w:rsidRDefault="00CE1A8C" w:rsidP="00CE1A8C">
      <w:pPr>
        <w:jc w:val="center"/>
        <w:rPr>
          <w:sz w:val="36"/>
          <w:szCs w:val="36"/>
        </w:rPr>
      </w:pPr>
    </w:p>
    <w:p w14:paraId="3A671173" w14:textId="77777777" w:rsidR="00CE1A8C" w:rsidRDefault="00CE1A8C" w:rsidP="00CE1A8C">
      <w:pPr>
        <w:rPr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0919C770" wp14:editId="3D04CA16">
            <wp:extent cx="1600523" cy="1471299"/>
            <wp:effectExtent l="19050" t="0" r="0" b="0"/>
            <wp:docPr id="1" name="Kép 1" descr="https://i.szalas.hu/hotels/1325490/original/3297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zalas.hu/hotels/1325490/original/32978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1636" cy="147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7BC982E2" wp14:editId="7CAF1095">
            <wp:extent cx="2204956" cy="1469660"/>
            <wp:effectExtent l="19050" t="0" r="4844" b="0"/>
            <wp:docPr id="2" name="Kép 4" descr="https://i.szalas.hu/hotels/1325490/original/32978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szalas.hu/hotels/1325490/original/32978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935" cy="146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631C2754" wp14:editId="4A1D9D74">
            <wp:extent cx="1476536" cy="1476536"/>
            <wp:effectExtent l="19050" t="0" r="9364" b="0"/>
            <wp:docPr id="3" name="Kép 7" descr="https://i.szalas.hu/hotels/666484/500x500/8706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szalas.hu/hotels/666484/500x500/87066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469" cy="147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52C37" w14:textId="77777777" w:rsidR="00CE1A8C" w:rsidRDefault="00CE1A8C" w:rsidP="00CE1A8C">
      <w:pPr>
        <w:rPr>
          <w:sz w:val="36"/>
          <w:szCs w:val="36"/>
        </w:rPr>
      </w:pPr>
      <w:r>
        <w:rPr>
          <w:noProof/>
          <w:sz w:val="36"/>
          <w:szCs w:val="36"/>
          <w:lang w:eastAsia="hu-HU"/>
        </w:rPr>
        <w:drawing>
          <wp:inline distT="0" distB="0" distL="0" distR="0" wp14:anchorId="6D2E401B" wp14:editId="225E4B44">
            <wp:extent cx="1613450" cy="2382864"/>
            <wp:effectExtent l="19050" t="0" r="5800" b="0"/>
            <wp:docPr id="10" name="Kép 10" descr="E:\0_2017\Csendidő\Fotók\Jógafeszt képek\erdei lovagl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0_2017\Csendidő\Fotók\Jógafeszt képek\erdei lovaglá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32" cy="238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BED">
        <w:rPr>
          <w:noProof/>
          <w:lang w:eastAsia="hu-HU"/>
        </w:rPr>
        <w:drawing>
          <wp:inline distT="0" distB="0" distL="0" distR="0" wp14:anchorId="167A2222" wp14:editId="667C2F31">
            <wp:extent cx="2383155" cy="2383155"/>
            <wp:effectExtent l="19050" t="0" r="0" b="0"/>
            <wp:docPr id="5" name="Kép 11" descr="https://i.szalas.hu/hotels/461150/250x250/287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szalas.hu/hotels/461150/250x250/287325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76A">
        <w:rPr>
          <w:noProof/>
          <w:lang w:eastAsia="hu-HU"/>
        </w:rPr>
        <w:drawing>
          <wp:inline distT="0" distB="0" distL="0" distR="0" wp14:anchorId="452B5786" wp14:editId="2AC978A9">
            <wp:extent cx="1271248" cy="2380932"/>
            <wp:effectExtent l="19050" t="0" r="5102" b="0"/>
            <wp:docPr id="6" name="fancybox-img" descr="http://www.kacatanya.hu/modules/kep_galeria02.php?file=/dinamic/hirek/9/wp_20150717_15_37_20_pro.jpg&amp;width=800&amp;height=600&amp;tolas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kacatanya.hu/modules/kep_galeria02.php?file=/dinamic/hirek/9/wp_20150717_15_37_20_pro.jpg&amp;width=800&amp;height=600&amp;tolas=6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2333" cy="2382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9EC90" w14:textId="77777777" w:rsidR="00F81200" w:rsidRDefault="00F81200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DAE18D" w14:textId="77777777" w:rsidR="00F81200" w:rsidRDefault="00F81200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5F2B67" w14:textId="6C0542A7" w:rsidR="00F647C2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654C7">
        <w:rPr>
          <w:rFonts w:cstheme="minorHAnsi"/>
          <w:sz w:val="24"/>
          <w:szCs w:val="24"/>
        </w:rPr>
        <w:t xml:space="preserve">Készítette:  </w:t>
      </w:r>
      <w:r>
        <w:rPr>
          <w:rFonts w:cstheme="minorHAnsi"/>
          <w:sz w:val="24"/>
          <w:szCs w:val="24"/>
        </w:rPr>
        <w:t>Pappné</w:t>
      </w:r>
      <w:proofErr w:type="gramEnd"/>
      <w:r>
        <w:rPr>
          <w:rFonts w:cstheme="minorHAnsi"/>
          <w:sz w:val="24"/>
          <w:szCs w:val="24"/>
        </w:rPr>
        <w:t xml:space="preserve"> Horváth Gyöngyi egyéni vállalkozó</w:t>
      </w:r>
    </w:p>
    <w:p w14:paraId="6810D3CD" w14:textId="77777777" w:rsidR="00F647C2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7900-Szigetvár, Bika A. u. 27., adószám: 68632489-1-22</w:t>
      </w:r>
    </w:p>
    <w:p w14:paraId="689A40F4" w14:textId="77777777" w:rsidR="00F647C2" w:rsidRPr="003654C7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BAB68C" w14:textId="77777777" w:rsidR="00F647C2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54C7">
        <w:rPr>
          <w:rFonts w:cstheme="minorHAnsi"/>
          <w:sz w:val="24"/>
          <w:szCs w:val="24"/>
        </w:rPr>
        <w:t>Megrendelő: Zöld Életmódért Egyesület</w:t>
      </w:r>
    </w:p>
    <w:p w14:paraId="15F9CD89" w14:textId="77777777" w:rsidR="00F647C2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Pr="003654C7">
        <w:rPr>
          <w:rFonts w:cstheme="minorHAnsi"/>
          <w:sz w:val="24"/>
          <w:szCs w:val="24"/>
        </w:rPr>
        <w:t xml:space="preserve"> 7682-Bükkösd, </w:t>
      </w:r>
      <w:proofErr w:type="spellStart"/>
      <w:r w:rsidRPr="003654C7">
        <w:rPr>
          <w:rFonts w:cstheme="minorHAnsi"/>
          <w:sz w:val="24"/>
          <w:szCs w:val="24"/>
        </w:rPr>
        <w:t>Szentdomján</w:t>
      </w:r>
      <w:proofErr w:type="spellEnd"/>
      <w:r w:rsidRPr="003654C7">
        <w:rPr>
          <w:rFonts w:cstheme="minorHAnsi"/>
          <w:sz w:val="24"/>
          <w:szCs w:val="24"/>
        </w:rPr>
        <w:t xml:space="preserve"> utca 4.</w:t>
      </w:r>
      <w:r>
        <w:rPr>
          <w:rFonts w:cstheme="minorHAnsi"/>
          <w:sz w:val="24"/>
          <w:szCs w:val="24"/>
        </w:rPr>
        <w:t>, adószám 18745067-1-02</w:t>
      </w:r>
    </w:p>
    <w:p w14:paraId="2B4ECED9" w14:textId="77777777" w:rsidR="00F647C2" w:rsidRPr="003654C7" w:rsidRDefault="00F647C2" w:rsidP="00F647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9622427" w14:textId="77777777" w:rsidR="00F647C2" w:rsidRPr="003654C7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54C7">
        <w:rPr>
          <w:rFonts w:cstheme="minorHAnsi"/>
          <w:sz w:val="24"/>
          <w:szCs w:val="24"/>
        </w:rPr>
        <w:t>Kapcsolódó támogatás: VP6-19.2.1-82-8.1.4-17</w:t>
      </w:r>
    </w:p>
    <w:p w14:paraId="1511A8AD" w14:textId="77777777" w:rsidR="00F647C2" w:rsidRPr="003654C7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80AF07" w14:textId="134C9958" w:rsidR="00F647C2" w:rsidRPr="003654C7" w:rsidRDefault="00F647C2" w:rsidP="00F647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54C7">
        <w:rPr>
          <w:rFonts w:cstheme="minorHAnsi"/>
          <w:sz w:val="24"/>
          <w:szCs w:val="24"/>
        </w:rPr>
        <w:t>Kelt: Pécs, 20</w:t>
      </w:r>
      <w:r>
        <w:rPr>
          <w:rFonts w:cstheme="minorHAnsi"/>
          <w:sz w:val="24"/>
          <w:szCs w:val="24"/>
        </w:rPr>
        <w:t>19.11.22.</w:t>
      </w:r>
    </w:p>
    <w:p w14:paraId="7EE8F8DC" w14:textId="77777777" w:rsidR="00F647C2" w:rsidRDefault="00F647C2" w:rsidP="00CE1A8C">
      <w:pPr>
        <w:rPr>
          <w:sz w:val="36"/>
          <w:szCs w:val="36"/>
        </w:rPr>
      </w:pPr>
    </w:p>
    <w:p w14:paraId="43D7D88A" w14:textId="77777777" w:rsidR="00F81200" w:rsidRDefault="00F81200" w:rsidP="00CE1A8C">
      <w:pPr>
        <w:rPr>
          <w:sz w:val="36"/>
          <w:szCs w:val="36"/>
        </w:rPr>
      </w:pPr>
    </w:p>
    <w:p w14:paraId="03BB4C10" w14:textId="77777777" w:rsidR="00FE376A" w:rsidRDefault="00FE376A" w:rsidP="00FE376A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Jelen minőségbiztosítási kézikönyv kidolgozására a Zöld Életmódért Egyesület adott megbízást azzal a céllal, hogy a közreműködésükkel kialakítás alatt álló Zrínyi Zöldúthoz kapcsolódó turisztikai szolgáltatók számára egységes szempontrendszert biztosítson szolgáltatás minőségük fejlesztéséhez.</w:t>
      </w:r>
    </w:p>
    <w:p w14:paraId="4361B86F" w14:textId="77777777" w:rsidR="00A72E02" w:rsidRDefault="00A72E02" w:rsidP="00FE376A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minőségbiztosítás nem kötelező ellenőrzések keretében valósul meg, hanem a Zrínyi Zöldúthoz csatlakozó, helyi Partnerek saját szolgáltatásaik tudatos, folyamatos fejlesztése által. Jelen kézikönyv alapelveket, irányvonalakat határoz meg, végül biztosít egy segédletet az önellenőrzéshez, a Partnerek saját fejlődésének, eredményeinek nyomon követéséhez.</w:t>
      </w:r>
    </w:p>
    <w:p w14:paraId="16ED6420" w14:textId="77777777" w:rsidR="00A72E02" w:rsidRDefault="00A72E02" w:rsidP="00FE376A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Zrínyi Zöldút térségi projekt gazda civil szervezete ezt az önfejlesztő, önellenőrző folyamatot azzal segíti elő, hogy minden évben megkéri Partnereket az önellenőrző listájuk megküldésére. Ezek a nem nyilvános listák név nélküli összesítésre kerülnek, és a térségi szintű eredmények kommunikációjához járulnak hozzá. A közösségi szinten bemutatott fejlődés motiválni fogja az egyes Partnereket is.</w:t>
      </w:r>
    </w:p>
    <w:p w14:paraId="2C26E563" w14:textId="77777777" w:rsidR="00FE376A" w:rsidRDefault="00FE376A" w:rsidP="00FE376A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kézikönyv figyelembe veszi a már működő, hazai zöldút hálózat tagok által saját vonatkozásukban megfogalmazott minőségi követelmény rendszereket, ugyanakkor törekedett a helyi, megkülönböztető jelleg, megkülönböztető minőség azonosítására, és a minőségi követelmény rendszerben megjelenítésére.</w:t>
      </w:r>
    </w:p>
    <w:p w14:paraId="6B3ABE8F" w14:textId="77777777" w:rsidR="00BE1E23" w:rsidRDefault="00BE1E23" w:rsidP="00FE376A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47AD6B9C" w14:textId="77777777" w:rsidR="00FE376A" w:rsidRDefault="00895787" w:rsidP="00FE376A">
      <w:pPr>
        <w:ind w:left="426" w:firstLine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hazai zöldutak általános</w:t>
      </w:r>
      <w:r w:rsidR="00FE376A">
        <w:rPr>
          <w:rFonts w:ascii="Times New Roman" w:hAnsi="Times New Roman" w:cs="Times New Roman"/>
          <w:sz w:val="24"/>
          <w:szCs w:val="24"/>
        </w:rPr>
        <w:t xml:space="preserve"> elvárásai</w:t>
      </w:r>
    </w:p>
    <w:p w14:paraId="63061CA8" w14:textId="77777777" w:rsidR="00FE376A" w:rsidRDefault="00BA1813" w:rsidP="00BA181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zöldutak a helyi közösségeket kötik össze, önmagukban is közösségfejlesztő jelentőséggel bírva.</w:t>
      </w:r>
      <w:r w:rsidR="00BE1E23">
        <w:rPr>
          <w:rFonts w:ascii="Times New Roman" w:hAnsi="Times New Roman" w:cs="Times New Roman"/>
          <w:sz w:val="24"/>
          <w:szCs w:val="24"/>
        </w:rPr>
        <w:t xml:space="preserve"> A zöldutakat úgy kell kialakítani, hogy az egymással személyes, kereskedelmi, vagy egyéb kölcsönösségi kapcsolatban lévő lakosság is jobban eljuthasson egymáshoz gyalog, kerékpáron, vagy lóháton (motoros jármű igénybevétele nélkül).</w:t>
      </w:r>
    </w:p>
    <w:p w14:paraId="7C8642D4" w14:textId="77777777" w:rsidR="00BA1813" w:rsidRDefault="00BA1813" w:rsidP="00BA181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zöldutak a helyi közösségek, a helyi értékek, a természeti környezet fenntarthatóságát segítik az ökoturizmus, a szelíd turizmus különböző ágainak fogadásával.</w:t>
      </w:r>
      <w:r w:rsidR="00BE1E23">
        <w:rPr>
          <w:rFonts w:ascii="Times New Roman" w:hAnsi="Times New Roman" w:cs="Times New Roman"/>
          <w:sz w:val="24"/>
          <w:szCs w:val="24"/>
        </w:rPr>
        <w:t xml:space="preserve"> Emiatt fontos, hogy a turisztikai célokat is kiszolgálja</w:t>
      </w:r>
      <w:r w:rsidR="00AD6736">
        <w:rPr>
          <w:rFonts w:ascii="Times New Roman" w:hAnsi="Times New Roman" w:cs="Times New Roman"/>
          <w:sz w:val="24"/>
          <w:szCs w:val="24"/>
        </w:rPr>
        <w:t xml:space="preserve"> mind az útvonal (látványos, élményt adó természeti környezet, panoráma pontok), mind az útvonal által érintett pontok (helyi értékeket megjelenítő attrakciók, helyi szolgáltatók).</w:t>
      </w:r>
    </w:p>
    <w:p w14:paraId="45BEAB23" w14:textId="77777777" w:rsidR="00BA1813" w:rsidRDefault="00AD6736" w:rsidP="00BA181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zöldutak </w:t>
      </w:r>
      <w:r w:rsidR="00BA1813">
        <w:rPr>
          <w:rFonts w:ascii="Times New Roman" w:hAnsi="Times New Roman" w:cs="Times New Roman"/>
          <w:sz w:val="24"/>
          <w:szCs w:val="24"/>
        </w:rPr>
        <w:t>turizmus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1813">
        <w:rPr>
          <w:rFonts w:ascii="Times New Roman" w:hAnsi="Times New Roman" w:cs="Times New Roman"/>
          <w:sz w:val="24"/>
          <w:szCs w:val="24"/>
        </w:rPr>
        <w:t xml:space="preserve"> minden esetben a környezeti fenntarthatóság</w:t>
      </w:r>
      <w:r>
        <w:rPr>
          <w:rFonts w:ascii="Times New Roman" w:hAnsi="Times New Roman" w:cs="Times New Roman"/>
          <w:sz w:val="24"/>
          <w:szCs w:val="24"/>
        </w:rPr>
        <w:t xml:space="preserve"> jegyében zajlik, ennek ellenére más zöldutaknál sem a hazai, sem a nemzetközi gyakorlatban nem ismert olyan minőségbiztosítási rendszer, amely ebből az aspektusból ösztönözné az útvonalhoz kapcsolódó attrakciókat és szolgáltatókat a fejlődésre.</w:t>
      </w:r>
    </w:p>
    <w:p w14:paraId="3EB83BC0" w14:textId="77777777" w:rsidR="00895787" w:rsidRDefault="00895787" w:rsidP="00BA181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  <w:szCs w:val="24"/>
        </w:rPr>
        <w:t>A zöld</w:t>
      </w:r>
      <w:r>
        <w:rPr>
          <w:rFonts w:ascii="Times New Roman" w:hAnsi="Times New Roman" w:cs="Times New Roman"/>
          <w:sz w:val="24"/>
          <w:szCs w:val="24"/>
        </w:rPr>
        <w:t>utak hozzájárulnak a helyi lakosság és az odalátogató vendégkör</w:t>
      </w:r>
      <w:r w:rsidRPr="00895787">
        <w:rPr>
          <w:rFonts w:ascii="Times New Roman" w:hAnsi="Times New Roman" w:cs="Times New Roman"/>
          <w:sz w:val="24"/>
          <w:szCs w:val="24"/>
        </w:rPr>
        <w:t xml:space="preserve"> szemlélet</w:t>
      </w:r>
      <w:r>
        <w:rPr>
          <w:rFonts w:ascii="Times New Roman" w:hAnsi="Times New Roman" w:cs="Times New Roman"/>
          <w:sz w:val="24"/>
          <w:szCs w:val="24"/>
        </w:rPr>
        <w:t>ének, életmódjának tudatosabbá, fenntarthatóbbá válásához. Ez a zöldutak kiemelt küldetése.</w:t>
      </w:r>
    </w:p>
    <w:p w14:paraId="097F5262" w14:textId="77777777" w:rsidR="008262D5" w:rsidRPr="00895787" w:rsidRDefault="008262D5" w:rsidP="008262D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CD90D04" w14:textId="77777777" w:rsidR="00AD6736" w:rsidRPr="00AD6736" w:rsidRDefault="00AD6736" w:rsidP="00AD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52B3E" w14:textId="77777777" w:rsidR="00FE376A" w:rsidRPr="00895787" w:rsidRDefault="00FE376A" w:rsidP="00FE376A">
      <w:pPr>
        <w:ind w:left="426" w:firstLine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87">
        <w:rPr>
          <w:rFonts w:ascii="Times New Roman" w:hAnsi="Times New Roman" w:cs="Times New Roman"/>
          <w:b/>
          <w:sz w:val="24"/>
          <w:szCs w:val="24"/>
        </w:rPr>
        <w:lastRenderedPageBreak/>
        <w:t>A Zrínyi Zöldút hely specifikus minőségi követelmény ajánlásai</w:t>
      </w:r>
    </w:p>
    <w:p w14:paraId="25E8CCBB" w14:textId="77777777" w:rsidR="00895787" w:rsidRDefault="00895787" w:rsidP="00AD6736">
      <w:pPr>
        <w:ind w:left="426" w:firstLine="282"/>
        <w:rPr>
          <w:rFonts w:ascii="Times New Roman" w:hAnsi="Times New Roman" w:cs="Times New Roman"/>
          <w:sz w:val="24"/>
          <w:szCs w:val="24"/>
        </w:rPr>
      </w:pPr>
    </w:p>
    <w:p w14:paraId="6F02E84A" w14:textId="77777777" w:rsidR="00AD6736" w:rsidRDefault="00AD6736" w:rsidP="00AD6736">
      <w:pPr>
        <w:ind w:left="426" w:firstLine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alábbiakban a Zrínyi Zöldúthoz kapcsolódó helyi partnerek (attrakció gazdák és szolgáltató vállalkozók) működésének minden területére kiterjedően fogalmazzuk meg a minőségi követelményeket.</w:t>
      </w:r>
    </w:p>
    <w:p w14:paraId="5D964E3A" w14:textId="77777777" w:rsidR="00AD6736" w:rsidRDefault="00AD6736" w:rsidP="00AD6736">
      <w:pPr>
        <w:ind w:left="426" w:firstLine="282"/>
        <w:rPr>
          <w:rFonts w:ascii="Times New Roman" w:hAnsi="Times New Roman" w:cs="Times New Roman"/>
          <w:sz w:val="24"/>
          <w:szCs w:val="24"/>
        </w:rPr>
      </w:pPr>
    </w:p>
    <w:p w14:paraId="6A43DDE9" w14:textId="77777777" w:rsidR="00AD6736" w:rsidRDefault="00AF7730" w:rsidP="00AD673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Partnereink jellemzői</w:t>
      </w:r>
      <w:r w:rsidR="00AD6736">
        <w:rPr>
          <w:rFonts w:ascii="Times New Roman" w:hAnsi="Times New Roman" w:cs="Times New Roman"/>
          <w:sz w:val="24"/>
          <w:szCs w:val="24"/>
        </w:rPr>
        <w:t>:</w:t>
      </w:r>
    </w:p>
    <w:p w14:paraId="48A5217D" w14:textId="77777777" w:rsidR="00652CEB" w:rsidRDefault="00AD6736" w:rsidP="00AD6736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Elkötelezett</w:t>
      </w:r>
      <w:r w:rsidR="00F46A3C">
        <w:rPr>
          <w:rFonts w:ascii="Times New Roman" w:hAnsi="Times New Roman" w:cs="Times New Roman"/>
          <w:sz w:val="24"/>
          <w:szCs w:val="24"/>
        </w:rPr>
        <w:t>ség</w:t>
      </w:r>
    </w:p>
    <w:p w14:paraId="02029D31" w14:textId="77777777" w:rsidR="00AD6736" w:rsidRDefault="00F46A3C" w:rsidP="00F46A3C">
      <w:pPr>
        <w:pStyle w:val="Listaszerbekezds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D0D07">
        <w:rPr>
          <w:rFonts w:ascii="Times New Roman" w:hAnsi="Times New Roman" w:cs="Times New Roman"/>
          <w:sz w:val="24"/>
          <w:szCs w:val="24"/>
        </w:rPr>
        <w:t xml:space="preserve"> Zrínyi Zöldúthoz csatlakozó helyi partnerek</w:t>
      </w:r>
      <w:r>
        <w:rPr>
          <w:rFonts w:ascii="Times New Roman" w:hAnsi="Times New Roman" w:cs="Times New Roman"/>
          <w:sz w:val="24"/>
          <w:szCs w:val="24"/>
        </w:rPr>
        <w:t xml:space="preserve"> (továbbiakban: Partnereink)</w:t>
      </w:r>
      <w:r w:rsidR="003D0D07">
        <w:rPr>
          <w:rFonts w:ascii="Times New Roman" w:hAnsi="Times New Roman" w:cs="Times New Roman"/>
          <w:sz w:val="24"/>
          <w:szCs w:val="24"/>
        </w:rPr>
        <w:t xml:space="preserve"> elkötelezettek a helyi értékek</w:t>
      </w:r>
      <w:r>
        <w:rPr>
          <w:rFonts w:ascii="Times New Roman" w:hAnsi="Times New Roman" w:cs="Times New Roman"/>
          <w:sz w:val="24"/>
          <w:szCs w:val="24"/>
        </w:rPr>
        <w:t>, a helyi közösség, és a</w:t>
      </w:r>
      <w:r w:rsidR="00AD6736">
        <w:rPr>
          <w:rFonts w:ascii="Times New Roman" w:hAnsi="Times New Roman" w:cs="Times New Roman"/>
          <w:sz w:val="24"/>
          <w:szCs w:val="24"/>
        </w:rPr>
        <w:t xml:space="preserve"> környezeti fenntarthatóság iránt.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5200A" w14:textId="77777777" w:rsidR="00F46A3C" w:rsidRDefault="00F46A3C" w:rsidP="00652CEB">
      <w:pPr>
        <w:pStyle w:val="Listaszerbekezds"/>
        <w:ind w:left="1788"/>
        <w:rPr>
          <w:rFonts w:ascii="Times New Roman" w:hAnsi="Times New Roman" w:cs="Times New Roman"/>
          <w:sz w:val="24"/>
          <w:szCs w:val="24"/>
        </w:rPr>
      </w:pPr>
    </w:p>
    <w:p w14:paraId="11BB052B" w14:textId="77777777" w:rsidR="00AD6736" w:rsidRDefault="00AD6736" w:rsidP="00AD6736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Tájékozott</w:t>
      </w:r>
      <w:r w:rsidR="00F46A3C">
        <w:rPr>
          <w:rFonts w:ascii="Times New Roman" w:hAnsi="Times New Roman" w:cs="Times New Roman"/>
          <w:sz w:val="24"/>
          <w:szCs w:val="24"/>
        </w:rPr>
        <w:t>ság</w:t>
      </w:r>
    </w:p>
    <w:p w14:paraId="4EC1EB75" w14:textId="77777777" w:rsidR="00652CEB" w:rsidRDefault="00F46A3C" w:rsidP="00F46A3C">
      <w:pPr>
        <w:pStyle w:val="Listaszerbekezds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Partnereink nem csak elkötelezettek, de alaposan ismerik és változásában, fejlődésében is folyamatosan nyomon követik a környezeti fenntarthatóság gyakorlatának módszereit, és alaposan ismerik lakóhelyük és térségük történelmét, természeti és kulturális értékeit.</w:t>
      </w:r>
    </w:p>
    <w:p w14:paraId="0072C11F" w14:textId="77777777" w:rsidR="00F46A3C" w:rsidRDefault="00F46A3C" w:rsidP="00652CEB">
      <w:pPr>
        <w:pStyle w:val="Listaszerbekezds"/>
        <w:ind w:left="1788"/>
        <w:rPr>
          <w:rFonts w:ascii="Times New Roman" w:hAnsi="Times New Roman" w:cs="Times New Roman"/>
          <w:sz w:val="24"/>
          <w:szCs w:val="24"/>
        </w:rPr>
      </w:pPr>
    </w:p>
    <w:p w14:paraId="4D677F07" w14:textId="77777777" w:rsidR="00AD6736" w:rsidRDefault="00F46A3C" w:rsidP="00AD6736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Toleráns</w:t>
      </w:r>
      <w:r w:rsidR="00652CEB">
        <w:rPr>
          <w:rFonts w:ascii="Times New Roman" w:hAnsi="Times New Roman" w:cs="Times New Roman"/>
          <w:sz w:val="24"/>
          <w:szCs w:val="24"/>
        </w:rPr>
        <w:t xml:space="preserve"> és</w:t>
      </w:r>
      <w:r w:rsidR="00A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736">
        <w:rPr>
          <w:rFonts w:ascii="Times New Roman" w:hAnsi="Times New Roman" w:cs="Times New Roman"/>
          <w:sz w:val="24"/>
          <w:szCs w:val="24"/>
        </w:rPr>
        <w:t>edukatív</w:t>
      </w:r>
      <w:proofErr w:type="spellEnd"/>
      <w:r w:rsidR="00A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440">
        <w:rPr>
          <w:rFonts w:ascii="Times New Roman" w:hAnsi="Times New Roman" w:cs="Times New Roman"/>
          <w:sz w:val="24"/>
          <w:szCs w:val="24"/>
        </w:rPr>
        <w:t>attitüd</w:t>
      </w:r>
      <w:proofErr w:type="spellEnd"/>
    </w:p>
    <w:p w14:paraId="1681154D" w14:textId="77777777" w:rsidR="00652CEB" w:rsidRDefault="00F46A3C" w:rsidP="00F46A3C">
      <w:pPr>
        <w:pStyle w:val="Listaszerbekezds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Partnereink tisztába</w:t>
      </w:r>
      <w:r w:rsidR="00E6430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vannak vele, hogy nem mindenki olyan szerencsés, hogy </w:t>
      </w:r>
      <w:r w:rsidR="00E64304">
        <w:rPr>
          <w:rFonts w:ascii="Times New Roman" w:hAnsi="Times New Roman" w:cs="Times New Roman"/>
          <w:sz w:val="24"/>
          <w:szCs w:val="24"/>
        </w:rPr>
        <w:t xml:space="preserve">szép természeti környezetben és lokálpatrióta közösségben éljen. Emiatt mások felelős szemléletének hiányosságait megértően, toleránsan kezelik, ugyanakkor lehetőségük szerint a velük való találkozást kihasználják edukációjuk céljára. Ennek során figyelembe veszik, hogy </w:t>
      </w:r>
      <w:proofErr w:type="gramStart"/>
      <w:r w:rsidR="00E64304">
        <w:rPr>
          <w:rFonts w:ascii="Times New Roman" w:hAnsi="Times New Roman" w:cs="Times New Roman"/>
          <w:sz w:val="24"/>
          <w:szCs w:val="24"/>
        </w:rPr>
        <w:t>„ az</w:t>
      </w:r>
      <w:proofErr w:type="gramEnd"/>
      <w:r w:rsidR="00E64304">
        <w:rPr>
          <w:rFonts w:ascii="Times New Roman" w:hAnsi="Times New Roman" w:cs="Times New Roman"/>
          <w:sz w:val="24"/>
          <w:szCs w:val="24"/>
        </w:rPr>
        <w:t xml:space="preserve"> emberekért oda kell menni, ahol vannak”, tehát az érzékenyítés és a tudás átadás egyénre szabott és fokozatos minden esetben.</w:t>
      </w:r>
    </w:p>
    <w:p w14:paraId="711ADD2C" w14:textId="77777777" w:rsidR="00F46A3C" w:rsidRPr="00652CEB" w:rsidRDefault="00F46A3C" w:rsidP="00652CE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EA3D5A6" w14:textId="77777777" w:rsidR="00652CEB" w:rsidRDefault="00652CEB" w:rsidP="00AD6736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Cselekvő példakép</w:t>
      </w:r>
    </w:p>
    <w:p w14:paraId="5E481419" w14:textId="77777777" w:rsidR="003D0D07" w:rsidRDefault="00E64304" w:rsidP="00E64304">
      <w:pPr>
        <w:pStyle w:val="Listaszerbekezds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Partnereink saját házuk táján cselekvően is képviselik a felelős, fenntartható életmódot, szemléletet. Az beszélhet erről, az oktathat másokat, aki maga is már sokat ért el. Ennek tudatosítása és nyomon követése érdekében írjunk listát arról, hogy </w:t>
      </w:r>
      <w:r w:rsidR="0011246B">
        <w:rPr>
          <w:rFonts w:ascii="Times New Roman" w:hAnsi="Times New Roman" w:cs="Times New Roman"/>
          <w:sz w:val="24"/>
          <w:szCs w:val="24"/>
        </w:rPr>
        <w:t>milyen intézkedéseket, milyen eredményekkel tettünk saját életünkben, környezetünkben.</w:t>
      </w:r>
    </w:p>
    <w:p w14:paraId="0E37F846" w14:textId="77777777" w:rsidR="00E64304" w:rsidRPr="003D0D07" w:rsidRDefault="00E64304" w:rsidP="003D0D0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43C4C35" w14:textId="77777777" w:rsidR="003D0D07" w:rsidRDefault="0011246B" w:rsidP="00AD6736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Személyes m</w:t>
      </w:r>
      <w:r w:rsidR="003D0D07">
        <w:rPr>
          <w:rFonts w:ascii="Times New Roman" w:hAnsi="Times New Roman" w:cs="Times New Roman"/>
          <w:sz w:val="24"/>
          <w:szCs w:val="24"/>
        </w:rPr>
        <w:t>egjelenés</w:t>
      </w:r>
    </w:p>
    <w:p w14:paraId="68443843" w14:textId="77777777" w:rsidR="003D0D07" w:rsidRDefault="0011246B" w:rsidP="0011246B">
      <w:pPr>
        <w:pStyle w:val="Listaszerbekezds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Partnereink a vendégek és a nyilvánosság felé külső megjelenésükkel is a felelős életmódot közvetítik. Csak a legindokoltabb esetben ülnek motorizált járműbe, viseletükön látható a felesleges (napi divatot követő, trend márkáknak hódoló) </w:t>
      </w:r>
      <w:proofErr w:type="spellStart"/>
      <w:r w:rsidR="00142651">
        <w:rPr>
          <w:rFonts w:ascii="Times New Roman" w:hAnsi="Times New Roman" w:cs="Times New Roman"/>
          <w:sz w:val="24"/>
          <w:szCs w:val="24"/>
        </w:rPr>
        <w:t>konzumálás</w:t>
      </w:r>
      <w:proofErr w:type="spellEnd"/>
      <w:r w:rsidR="00142651">
        <w:rPr>
          <w:rFonts w:ascii="Times New Roman" w:hAnsi="Times New Roman" w:cs="Times New Roman"/>
          <w:sz w:val="24"/>
          <w:szCs w:val="24"/>
        </w:rPr>
        <w:t xml:space="preserve"> tudatos kerülése, a természetes anyagok előnyben részesítése, a tisztaság és egyszerűség.</w:t>
      </w:r>
    </w:p>
    <w:p w14:paraId="1C2F4639" w14:textId="77777777" w:rsidR="0011246B" w:rsidRPr="003D0D07" w:rsidRDefault="0011246B" w:rsidP="003D0D0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CA5B10D" w14:textId="77777777" w:rsidR="003D0D07" w:rsidRDefault="003D0D07" w:rsidP="00AD6736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Közösségi szellem</w:t>
      </w:r>
    </w:p>
    <w:p w14:paraId="5B863057" w14:textId="77777777" w:rsidR="00142651" w:rsidRDefault="00142651" w:rsidP="00142651">
      <w:pPr>
        <w:pStyle w:val="Listaszerbekezds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Partnereink egymást ismerik, elfogadják, tiszteletben tartják, és egymással együttműködnek közösségi érdekeik, céljaik szolgálatában, és rendszeresen   bekapcsolódnak önkéntes tevékenységekbe.</w:t>
      </w:r>
      <w:r w:rsidR="00AF7730">
        <w:rPr>
          <w:rFonts w:ascii="Times New Roman" w:hAnsi="Times New Roman" w:cs="Times New Roman"/>
          <w:sz w:val="24"/>
          <w:szCs w:val="24"/>
        </w:rPr>
        <w:t xml:space="preserve"> Egymást erősítik vásárlásaikkal (helyi kézműves tárgyak, élelmiszerek vásárlása, cseréje, helyi iparosok megbízása).</w:t>
      </w:r>
    </w:p>
    <w:p w14:paraId="45F953AB" w14:textId="77777777" w:rsidR="00142651" w:rsidRDefault="00142651" w:rsidP="00142651">
      <w:pPr>
        <w:pStyle w:val="Listaszerbekezds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090BADB4" w14:textId="77777777" w:rsidR="00AD6736" w:rsidRDefault="00652CEB" w:rsidP="00AD673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környezet</w:t>
      </w:r>
    </w:p>
    <w:p w14:paraId="2013790E" w14:textId="77777777" w:rsidR="00142651" w:rsidRDefault="00142651" w:rsidP="00142651">
      <w:pPr>
        <w:pStyle w:val="Listaszerbekezds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 Partnereink eltérő pénzügyi lehetőségekkel bírnak, ettől függetlenül egyformán </w:t>
      </w:r>
      <w:r w:rsidR="00AF7730">
        <w:rPr>
          <w:rFonts w:ascii="Times New Roman" w:hAnsi="Times New Roman" w:cs="Times New Roman"/>
          <w:sz w:val="24"/>
          <w:szCs w:val="24"/>
        </w:rPr>
        <w:t>igényesek a tisztaságra,</w:t>
      </w:r>
      <w:r>
        <w:rPr>
          <w:rFonts w:ascii="Times New Roman" w:hAnsi="Times New Roman" w:cs="Times New Roman"/>
          <w:sz w:val="24"/>
          <w:szCs w:val="24"/>
        </w:rPr>
        <w:t xml:space="preserve"> rendre, és törekszenek a fenntartható életmód mindennapi praktikáinak alkalmazására: szelektív hulladékgyűjtés</w:t>
      </w:r>
      <w:r w:rsidR="00496AAA">
        <w:rPr>
          <w:rFonts w:ascii="Times New Roman" w:hAnsi="Times New Roman" w:cs="Times New Roman"/>
          <w:sz w:val="24"/>
          <w:szCs w:val="24"/>
        </w:rPr>
        <w:t xml:space="preserve"> és helyben a hulladék lehetőség szerinti újrahasznosítása (pl. komposzt hasznosítás a konyhakertben)</w:t>
      </w:r>
      <w:r>
        <w:rPr>
          <w:rFonts w:ascii="Times New Roman" w:hAnsi="Times New Roman" w:cs="Times New Roman"/>
          <w:sz w:val="24"/>
          <w:szCs w:val="24"/>
        </w:rPr>
        <w:t>, káros vegyszerek helyett</w:t>
      </w:r>
      <w:r w:rsidR="00AF7730">
        <w:rPr>
          <w:rFonts w:ascii="Times New Roman" w:hAnsi="Times New Roman" w:cs="Times New Roman"/>
          <w:sz w:val="24"/>
          <w:szCs w:val="24"/>
        </w:rPr>
        <w:t xml:space="preserve"> természetes anyagok alkalmazása (ecet, citrom, szódabikarbóna, lenolaj, mosódió, stb.), bevásárlásaik során kerülik a felesleges csomagolóanyagokat, kerülik az egyszer használatos műanyagot. Törekszenek az energiatakarékosságra: nem csak a megújuló </w:t>
      </w:r>
      <w:proofErr w:type="gramStart"/>
      <w:r w:rsidR="00AF7730">
        <w:rPr>
          <w:rFonts w:ascii="Times New Roman" w:hAnsi="Times New Roman" w:cs="Times New Roman"/>
          <w:sz w:val="24"/>
          <w:szCs w:val="24"/>
        </w:rPr>
        <w:t>energia termelés</w:t>
      </w:r>
      <w:proofErr w:type="gramEnd"/>
      <w:r w:rsidR="00AF7730">
        <w:rPr>
          <w:rFonts w:ascii="Times New Roman" w:hAnsi="Times New Roman" w:cs="Times New Roman"/>
          <w:sz w:val="24"/>
          <w:szCs w:val="24"/>
        </w:rPr>
        <w:t xml:space="preserve"> (pl. </w:t>
      </w:r>
      <w:r w:rsidR="00496AAA">
        <w:rPr>
          <w:rFonts w:ascii="Times New Roman" w:hAnsi="Times New Roman" w:cs="Times New Roman"/>
          <w:sz w:val="24"/>
          <w:szCs w:val="24"/>
        </w:rPr>
        <w:t xml:space="preserve">háztartási </w:t>
      </w:r>
      <w:r w:rsidR="00AF7730">
        <w:rPr>
          <w:rFonts w:ascii="Times New Roman" w:hAnsi="Times New Roman" w:cs="Times New Roman"/>
          <w:sz w:val="24"/>
          <w:szCs w:val="24"/>
        </w:rPr>
        <w:t>szolár kiserőmű</w:t>
      </w:r>
      <w:r w:rsidR="00496AAA">
        <w:rPr>
          <w:rFonts w:ascii="Times New Roman" w:hAnsi="Times New Roman" w:cs="Times New Roman"/>
          <w:sz w:val="24"/>
          <w:szCs w:val="24"/>
        </w:rPr>
        <w:t xml:space="preserve"> létesítése)</w:t>
      </w:r>
      <w:r w:rsidR="00AF7730">
        <w:rPr>
          <w:rFonts w:ascii="Times New Roman" w:hAnsi="Times New Roman" w:cs="Times New Roman"/>
          <w:sz w:val="24"/>
          <w:szCs w:val="24"/>
        </w:rPr>
        <w:t xml:space="preserve"> </w:t>
      </w:r>
      <w:r w:rsidR="00496AAA">
        <w:rPr>
          <w:rFonts w:ascii="Times New Roman" w:hAnsi="Times New Roman" w:cs="Times New Roman"/>
          <w:sz w:val="24"/>
          <w:szCs w:val="24"/>
        </w:rPr>
        <w:t xml:space="preserve">által, hanem </w:t>
      </w:r>
      <w:proofErr w:type="gramStart"/>
      <w:r w:rsidR="00496AAA">
        <w:rPr>
          <w:rFonts w:ascii="Times New Roman" w:hAnsi="Times New Roman" w:cs="Times New Roman"/>
          <w:sz w:val="24"/>
          <w:szCs w:val="24"/>
        </w:rPr>
        <w:t>mindenek előtt</w:t>
      </w:r>
      <w:proofErr w:type="gramEnd"/>
      <w:r w:rsidR="00496AAA">
        <w:rPr>
          <w:rFonts w:ascii="Times New Roman" w:hAnsi="Times New Roman" w:cs="Times New Roman"/>
          <w:sz w:val="24"/>
          <w:szCs w:val="24"/>
        </w:rPr>
        <w:t xml:space="preserve"> a feleslegesen el nem használt energia (víz, villany, gáz, </w:t>
      </w:r>
      <w:proofErr w:type="gramStart"/>
      <w:r w:rsidR="00496AAA">
        <w:rPr>
          <w:rFonts w:ascii="Times New Roman" w:hAnsi="Times New Roman" w:cs="Times New Roman"/>
          <w:sz w:val="24"/>
          <w:szCs w:val="24"/>
        </w:rPr>
        <w:t>tűzifa,</w:t>
      </w:r>
      <w:proofErr w:type="gramEnd"/>
      <w:r w:rsidR="00496AAA">
        <w:rPr>
          <w:rFonts w:ascii="Times New Roman" w:hAnsi="Times New Roman" w:cs="Times New Roman"/>
          <w:sz w:val="24"/>
          <w:szCs w:val="24"/>
        </w:rPr>
        <w:t xml:space="preserve"> stb.) megtakarítással. Térségünk számos területén (</w:t>
      </w:r>
      <w:proofErr w:type="spellStart"/>
      <w:r w:rsidR="00496AAA">
        <w:rPr>
          <w:rFonts w:ascii="Times New Roman" w:hAnsi="Times New Roman" w:cs="Times New Roman"/>
          <w:sz w:val="24"/>
          <w:szCs w:val="24"/>
        </w:rPr>
        <w:t>Gorica</w:t>
      </w:r>
      <w:proofErr w:type="spellEnd"/>
      <w:r w:rsidR="00496AAA">
        <w:rPr>
          <w:rFonts w:ascii="Times New Roman" w:hAnsi="Times New Roman" w:cs="Times New Roman"/>
          <w:sz w:val="24"/>
          <w:szCs w:val="24"/>
        </w:rPr>
        <w:t xml:space="preserve">, Kán, </w:t>
      </w:r>
      <w:proofErr w:type="spellStart"/>
      <w:r w:rsidR="00496AAA">
        <w:rPr>
          <w:rFonts w:ascii="Times New Roman" w:hAnsi="Times New Roman" w:cs="Times New Roman"/>
          <w:sz w:val="24"/>
          <w:szCs w:val="24"/>
        </w:rPr>
        <w:t>Egéd</w:t>
      </w:r>
      <w:proofErr w:type="spellEnd"/>
      <w:r w:rsidR="00496AAA">
        <w:rPr>
          <w:rFonts w:ascii="Times New Roman" w:hAnsi="Times New Roman" w:cs="Times New Roman"/>
          <w:sz w:val="24"/>
          <w:szCs w:val="24"/>
        </w:rPr>
        <w:t>, Gyűrűfű, stb.) nincs és nem is lesz szennyvíz csatorna; ezeken a helyeken a környezetszennyező „elszikkasztós” szennyvíz aknák gyakorlatával szemben a háztartási, vagy közösségi méretű, biológiai szennyvíztisztítás bevezetése, és a szürke víz újrahasznosítása példa értékű lépés volna.</w:t>
      </w:r>
    </w:p>
    <w:p w14:paraId="2617DD70" w14:textId="77777777" w:rsidR="00142651" w:rsidRDefault="00142651" w:rsidP="00142651">
      <w:pPr>
        <w:pStyle w:val="Listaszerbekezds"/>
        <w:ind w:left="1428"/>
        <w:rPr>
          <w:rFonts w:ascii="Times New Roman" w:hAnsi="Times New Roman" w:cs="Times New Roman"/>
          <w:sz w:val="24"/>
          <w:szCs w:val="24"/>
        </w:rPr>
      </w:pPr>
    </w:p>
    <w:p w14:paraId="7C96D2DF" w14:textId="77777777" w:rsidR="003D0D07" w:rsidRDefault="00652CEB" w:rsidP="003D0D0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szolgáltatások</w:t>
      </w:r>
    </w:p>
    <w:p w14:paraId="4124B643" w14:textId="77777777" w:rsidR="00E41265" w:rsidRPr="00E41265" w:rsidRDefault="00E41265" w:rsidP="00E41265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partnerek kötelezik magukat, hogy megfelelnek a hatósági működési engedélyeztetési előírásoknak, és megfelelőségüket transzparenssé teszik (pl. honlapjukon látható az engedély dokumentuma, vagy legalább annak azonosító száma)</w:t>
      </w:r>
    </w:p>
    <w:p w14:paraId="38710EEB" w14:textId="77777777" w:rsidR="00E41265" w:rsidRDefault="00496AAA" w:rsidP="00192CB4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szolgáltatás típusban </w:t>
      </w:r>
      <w:r w:rsidR="00192CB4">
        <w:rPr>
          <w:rFonts w:ascii="Times New Roman" w:hAnsi="Times New Roman" w:cs="Times New Roman"/>
          <w:sz w:val="24"/>
          <w:szCs w:val="24"/>
        </w:rPr>
        <w:t xml:space="preserve">Partnereink </w:t>
      </w:r>
      <w:r>
        <w:rPr>
          <w:rFonts w:ascii="Times New Roman" w:hAnsi="Times New Roman" w:cs="Times New Roman"/>
          <w:sz w:val="24"/>
          <w:szCs w:val="24"/>
        </w:rPr>
        <w:t>az autentikus, a hely szelleméhez illeszkedő megoldások</w:t>
      </w:r>
      <w:r w:rsidR="00192CB4">
        <w:rPr>
          <w:rFonts w:ascii="Times New Roman" w:hAnsi="Times New Roman" w:cs="Times New Roman"/>
          <w:sz w:val="24"/>
          <w:szCs w:val="24"/>
        </w:rPr>
        <w:t>at preferálják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92CB4">
        <w:rPr>
          <w:rFonts w:ascii="Times New Roman" w:hAnsi="Times New Roman" w:cs="Times New Roman"/>
          <w:sz w:val="24"/>
          <w:szCs w:val="24"/>
        </w:rPr>
        <w:t xml:space="preserve">a közhellyé vált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prova</w:t>
      </w:r>
      <w:r w:rsidR="00192CB4">
        <w:rPr>
          <w:rFonts w:ascii="Times New Roman" w:hAnsi="Times New Roman" w:cs="Times New Roman"/>
          <w:sz w:val="24"/>
          <w:szCs w:val="24"/>
        </w:rPr>
        <w:t>nszi</w:t>
      </w:r>
      <w:proofErr w:type="spellEnd"/>
      <w:r w:rsidR="00192CB4">
        <w:rPr>
          <w:rFonts w:ascii="Times New Roman" w:hAnsi="Times New Roman" w:cs="Times New Roman"/>
          <w:sz w:val="24"/>
          <w:szCs w:val="24"/>
        </w:rPr>
        <w:t>, vagy</w:t>
      </w:r>
      <w:r>
        <w:rPr>
          <w:rFonts w:ascii="Times New Roman" w:hAnsi="Times New Roman" w:cs="Times New Roman"/>
          <w:sz w:val="24"/>
          <w:szCs w:val="24"/>
        </w:rPr>
        <w:t xml:space="preserve"> toszkán </w:t>
      </w:r>
      <w:proofErr w:type="spellStart"/>
      <w:r w:rsidR="00192CB4">
        <w:rPr>
          <w:rFonts w:ascii="Times New Roman" w:hAnsi="Times New Roman" w:cs="Times New Roman"/>
          <w:sz w:val="24"/>
          <w:szCs w:val="24"/>
        </w:rPr>
        <w:t>vintage</w:t>
      </w:r>
      <w:proofErr w:type="spellEnd"/>
      <w:r w:rsidR="00192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stílus helyett a helyi életérzés miliőjének </w:t>
      </w:r>
      <w:r w:rsidR="00192CB4">
        <w:rPr>
          <w:rFonts w:ascii="Times New Roman" w:hAnsi="Times New Roman" w:cs="Times New Roman"/>
          <w:sz w:val="24"/>
          <w:szCs w:val="24"/>
        </w:rPr>
        <w:t xml:space="preserve">megteremtése). </w:t>
      </w:r>
    </w:p>
    <w:p w14:paraId="64561A65" w14:textId="77777777" w:rsidR="00496AAA" w:rsidRDefault="00E41265" w:rsidP="00192CB4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CB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Partnerek a </w:t>
      </w:r>
      <w:r w:rsidR="00192CB4">
        <w:rPr>
          <w:rFonts w:ascii="Times New Roman" w:hAnsi="Times New Roman" w:cs="Times New Roman"/>
          <w:sz w:val="24"/>
          <w:szCs w:val="24"/>
        </w:rPr>
        <w:t>szolgáltatás során legjobb tudásuk szerint járnak el, mindig maximális odaadással és igényességgel, - annak szem előtt tartásával is, hogy kifogásolható szolgáltatásuk rossz fényt vet a Zrínyi Zöldút egészére, tehát más Partnerekre is, amivel más vállalkozások, családok, intézmények hátrányos megítélését, azaz kárát okozhatja</w:t>
      </w:r>
      <w:r w:rsidR="00192CB4" w:rsidRPr="00192CB4">
        <w:rPr>
          <w:rFonts w:ascii="Times New Roman" w:hAnsi="Times New Roman" w:cs="Times New Roman"/>
          <w:sz w:val="24"/>
          <w:szCs w:val="24"/>
        </w:rPr>
        <w:t>.</w:t>
      </w:r>
    </w:p>
    <w:p w14:paraId="563F8A67" w14:textId="77777777" w:rsidR="00192CB4" w:rsidRDefault="00192CB4" w:rsidP="00E41265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265">
        <w:rPr>
          <w:rFonts w:ascii="Times New Roman" w:hAnsi="Times New Roman" w:cs="Times New Roman"/>
          <w:sz w:val="24"/>
          <w:szCs w:val="24"/>
        </w:rPr>
        <w:t>A Partnerek minősíttetik magukat a hazai szakági minősítési rendszerekben, és töreksze</w:t>
      </w:r>
      <w:r w:rsidR="00E41265">
        <w:rPr>
          <w:rFonts w:ascii="Times New Roman" w:hAnsi="Times New Roman" w:cs="Times New Roman"/>
          <w:sz w:val="24"/>
          <w:szCs w:val="24"/>
        </w:rPr>
        <w:t>n</w:t>
      </w:r>
      <w:r w:rsidRPr="00E41265">
        <w:rPr>
          <w:rFonts w:ascii="Times New Roman" w:hAnsi="Times New Roman" w:cs="Times New Roman"/>
          <w:sz w:val="24"/>
          <w:szCs w:val="24"/>
        </w:rPr>
        <w:t>ek a legmagasabb minősítésre:</w:t>
      </w:r>
    </w:p>
    <w:p w14:paraId="5EAD78F8" w14:textId="77777777" w:rsidR="00E41265" w:rsidRDefault="00E41265" w:rsidP="00E41265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Falusi szállásadók: FATOSZ maximum 4 napraforgós minősítése, és külön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Ökoporta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minősítés</w:t>
      </w:r>
    </w:p>
    <w:p w14:paraId="40069CFB" w14:textId="77777777" w:rsidR="00E41265" w:rsidRDefault="00E41265" w:rsidP="00E41265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 szolgáltatók: Magyar Lovas Turisztikai Szövetség (</w:t>
      </w:r>
      <w:proofErr w:type="gramStart"/>
      <w:r>
        <w:rPr>
          <w:rFonts w:ascii="Times New Roman" w:hAnsi="Times New Roman" w:cs="Times New Roman"/>
          <w:sz w:val="24"/>
          <w:szCs w:val="24"/>
        </w:rPr>
        <w:t>MLTSZ)  maximum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patkós minősítése </w:t>
      </w:r>
    </w:p>
    <w:p w14:paraId="58C12FAF" w14:textId="77777777" w:rsidR="00496AAA" w:rsidRDefault="00E41265" w:rsidP="00496AAA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lovas pihenő és szálláshelyek minősítése: MLTSZ védnöki tábla</w:t>
      </w:r>
    </w:p>
    <w:p w14:paraId="064F3900" w14:textId="77777777" w:rsidR="00E41265" w:rsidRDefault="00E41265" w:rsidP="00496AAA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Éttermek osztályba sorolása</w:t>
      </w:r>
    </w:p>
    <w:p w14:paraId="284A621C" w14:textId="77777777" w:rsidR="00E41265" w:rsidRPr="00E41265" w:rsidRDefault="00E41265" w:rsidP="00E41265">
      <w:pPr>
        <w:pStyle w:val="Listaszerbekezds"/>
        <w:ind w:left="2508"/>
        <w:jc w:val="both"/>
        <w:rPr>
          <w:rFonts w:ascii="Times New Roman" w:hAnsi="Times New Roman" w:cs="Times New Roman"/>
          <w:sz w:val="24"/>
          <w:szCs w:val="24"/>
        </w:rPr>
      </w:pPr>
    </w:p>
    <w:p w14:paraId="48A28CFC" w14:textId="77777777" w:rsidR="00652CEB" w:rsidRDefault="00E41265" w:rsidP="00AD673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Specifikus</w:t>
      </w:r>
      <w:r w:rsidR="00652CEB">
        <w:rPr>
          <w:rFonts w:ascii="Times New Roman" w:hAnsi="Times New Roman" w:cs="Times New Roman"/>
          <w:sz w:val="24"/>
          <w:szCs w:val="24"/>
        </w:rPr>
        <w:t xml:space="preserve"> szolgáltatások</w:t>
      </w:r>
    </w:p>
    <w:p w14:paraId="1F077DF5" w14:textId="77777777" w:rsidR="00A77DCA" w:rsidRDefault="00A77DCA" w:rsidP="00A77DCA">
      <w:pPr>
        <w:pStyle w:val="Listaszerbekezds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specifikus szolgáltatások egyes, speciális igényű célcsoport, vagy célszegmens azon igényeinek kielégítését szolgálják, melyek utazási döntésüket befolyásoló szempontok. Emiatt javasoljuk az alábbi kategóriák esetében, hogy a Partnerek vizsgálják meg adottságaikat, lehetőségeiket, és egy-egy speciális célcsoport kiszolgálási szándéka esetén tudatosan kezdjék el bővíteni, fejleszteni lenti szempontok szerinti szolgáltatásaikat:</w:t>
      </w:r>
    </w:p>
    <w:p w14:paraId="7D77F4BF" w14:textId="77777777" w:rsidR="00A77DCA" w:rsidRDefault="00A77DCA" w:rsidP="00A77DCA">
      <w:pPr>
        <w:pStyle w:val="Listaszerbekezds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DF52DEE" w14:textId="77777777" w:rsidR="00A72E02" w:rsidRPr="00D36872" w:rsidRDefault="00EF0126" w:rsidP="00D36872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41265">
        <w:rPr>
          <w:rFonts w:ascii="Times New Roman" w:hAnsi="Times New Roman" w:cs="Times New Roman"/>
          <w:sz w:val="24"/>
          <w:szCs w:val="24"/>
        </w:rPr>
        <w:t>yerek</w:t>
      </w:r>
      <w:r>
        <w:rPr>
          <w:rFonts w:ascii="Times New Roman" w:hAnsi="Times New Roman" w:cs="Times New Roman"/>
          <w:sz w:val="24"/>
          <w:szCs w:val="24"/>
        </w:rPr>
        <w:t>barát szolgáltatások</w:t>
      </w:r>
    </w:p>
    <w:p w14:paraId="41F00F0D" w14:textId="77777777" w:rsidR="00A72E02" w:rsidRPr="00E33783" w:rsidRDefault="00EF0126" w:rsidP="00E33783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41265">
        <w:rPr>
          <w:rFonts w:ascii="Times New Roman" w:hAnsi="Times New Roman" w:cs="Times New Roman"/>
          <w:sz w:val="24"/>
          <w:szCs w:val="24"/>
        </w:rPr>
        <w:t>ogyatékossággal élők</w:t>
      </w:r>
      <w:r>
        <w:rPr>
          <w:rFonts w:ascii="Times New Roman" w:hAnsi="Times New Roman" w:cs="Times New Roman"/>
          <w:sz w:val="24"/>
          <w:szCs w:val="24"/>
        </w:rPr>
        <w:t xml:space="preserve"> számára speciális szolgáltatások</w:t>
      </w:r>
    </w:p>
    <w:p w14:paraId="317E4ED9" w14:textId="77777777" w:rsidR="00E41265" w:rsidRDefault="00EF0126" w:rsidP="00E41265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41265">
        <w:rPr>
          <w:rFonts w:ascii="Times New Roman" w:hAnsi="Times New Roman" w:cs="Times New Roman"/>
          <w:sz w:val="24"/>
          <w:szCs w:val="24"/>
        </w:rPr>
        <w:t>erékpár</w:t>
      </w:r>
      <w:r>
        <w:rPr>
          <w:rFonts w:ascii="Times New Roman" w:hAnsi="Times New Roman" w:cs="Times New Roman"/>
          <w:sz w:val="24"/>
          <w:szCs w:val="24"/>
        </w:rPr>
        <w:t>barát szolgáltatások</w:t>
      </w:r>
    </w:p>
    <w:p w14:paraId="55A3AE9A" w14:textId="77777777" w:rsidR="00E41265" w:rsidRDefault="00EF0126" w:rsidP="00E41265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Ló és lovas barát szolgáltatások</w:t>
      </w:r>
    </w:p>
    <w:p w14:paraId="036E26A3" w14:textId="77777777" w:rsidR="003D0D07" w:rsidRPr="00EF0126" w:rsidRDefault="00EF0126" w:rsidP="00EF0126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41265">
        <w:rPr>
          <w:rFonts w:ascii="Times New Roman" w:hAnsi="Times New Roman" w:cs="Times New Roman"/>
          <w:sz w:val="24"/>
          <w:szCs w:val="24"/>
        </w:rPr>
        <w:t>utya</w:t>
      </w:r>
      <w:r>
        <w:rPr>
          <w:rFonts w:ascii="Times New Roman" w:hAnsi="Times New Roman" w:cs="Times New Roman"/>
          <w:sz w:val="24"/>
          <w:szCs w:val="24"/>
        </w:rPr>
        <w:t>barát szolgáltatások</w:t>
      </w:r>
    </w:p>
    <w:p w14:paraId="33CCE2C7" w14:textId="77777777" w:rsidR="003D0D07" w:rsidRDefault="003D0D07" w:rsidP="003D0D07">
      <w:pPr>
        <w:pStyle w:val="Listaszerbekezds"/>
        <w:ind w:left="1428"/>
        <w:rPr>
          <w:rFonts w:ascii="Times New Roman" w:hAnsi="Times New Roman" w:cs="Times New Roman"/>
          <w:sz w:val="24"/>
          <w:szCs w:val="24"/>
        </w:rPr>
      </w:pPr>
    </w:p>
    <w:p w14:paraId="5624C289" w14:textId="77777777" w:rsidR="00D36872" w:rsidRDefault="00D36872" w:rsidP="00D36872">
      <w:pPr>
        <w:pStyle w:val="Listaszerbekezds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nemzeti és nemzetközi szakmai szervezetek által akkreditált minősítő rendszerek szempont rendszere támpontot ad a célkitűzésekhez, a fejleszté</w:t>
      </w:r>
      <w:r w:rsidR="003E44F3">
        <w:rPr>
          <w:rFonts w:ascii="Times New Roman" w:hAnsi="Times New Roman" w:cs="Times New Roman"/>
          <w:sz w:val="24"/>
          <w:szCs w:val="24"/>
        </w:rPr>
        <w:t>sekhez, ebből a célból csatoljuk ezeket.</w:t>
      </w:r>
    </w:p>
    <w:p w14:paraId="5B47DE3B" w14:textId="77777777" w:rsidR="003E44F3" w:rsidRDefault="003E44F3" w:rsidP="00D36872">
      <w:pPr>
        <w:pStyle w:val="Listaszerbekezds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F255CD1" w14:textId="77777777" w:rsidR="00652CEB" w:rsidRPr="00AD6736" w:rsidRDefault="00652CEB" w:rsidP="00AD673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Kommunikáció</w:t>
      </w:r>
    </w:p>
    <w:p w14:paraId="0766A089" w14:textId="77777777" w:rsidR="00CE1A8C" w:rsidRDefault="00845440" w:rsidP="00845440">
      <w:pPr>
        <w:ind w:left="1416"/>
        <w:jc w:val="both"/>
        <w:rPr>
          <w:rFonts w:ascii="Times New Roman" w:hAnsi="Times New Roman" w:cs="Times New Roman"/>
        </w:rPr>
      </w:pPr>
      <w:r w:rsidRPr="00845440">
        <w:rPr>
          <w:rFonts w:ascii="Times New Roman" w:hAnsi="Times New Roman" w:cs="Times New Roman"/>
        </w:rPr>
        <w:t>A kommunikációs</w:t>
      </w:r>
      <w:r>
        <w:rPr>
          <w:rFonts w:ascii="Times New Roman" w:hAnsi="Times New Roman" w:cs="Times New Roman"/>
        </w:rPr>
        <w:t xml:space="preserve"> tevékenység során is a tisztaság, a felelősségvállalás, a szavahihetőség legyen az erősségünk, jellemzőnk. Valós élményígéreteket tegyünk, és a valóságnak megfelelő információkat adjunk.</w:t>
      </w:r>
    </w:p>
    <w:p w14:paraId="07295CBF" w14:textId="77777777" w:rsidR="00845440" w:rsidRDefault="00845440" w:rsidP="00845440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Mint zöldút tagok, legyünk elhivatottak a környezettudatos életmód mellett, ami kommunikációnkat is jellemezze. Az alkalmazott módszerek, eszközök, csatornák megválasztásakor a digitális megoldásokat preferáljuk, kerüljük a nyomatott, papír alapú lehetőségeket.</w:t>
      </w:r>
    </w:p>
    <w:p w14:paraId="58D7CEF9" w14:textId="77777777" w:rsidR="00845440" w:rsidRDefault="00845440" w:rsidP="00845440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erőforrásokkal takarékosság</w:t>
      </w:r>
      <w:r w:rsidR="003662C7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 xml:space="preserve"> </w:t>
      </w:r>
      <w:r w:rsidR="00410112">
        <w:rPr>
          <w:rFonts w:ascii="Times New Roman" w:hAnsi="Times New Roman" w:cs="Times New Roman"/>
        </w:rPr>
        <w:t xml:space="preserve">a saját időnk, munkaerőnk vonatkozásában is </w:t>
      </w:r>
      <w:r w:rsidR="003662C7">
        <w:rPr>
          <w:rFonts w:ascii="Times New Roman" w:hAnsi="Times New Roman" w:cs="Times New Roman"/>
        </w:rPr>
        <w:t>fordítsunk figyelmet. Kerüljük a nagy meddőszórással járó, tehát nem hatékony, felesleges tevékenységet. Ügyeljünk konkrét célcsoportjaink közvetlen elérésére.</w:t>
      </w:r>
    </w:p>
    <w:p w14:paraId="6A2BFA26" w14:textId="77777777" w:rsidR="003662C7" w:rsidRDefault="003662C7" w:rsidP="00845440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Részesítsük előnyben a közösségi kommunikációt. Ez minden csatlakozó számára erőforrást takarít meg, és a térségi imázs erősítése minden érintettnek előnyt jelent, ami a vendégforgalom növekedésében is meg fog nyilvánulni.</w:t>
      </w:r>
    </w:p>
    <w:p w14:paraId="34287FE3" w14:textId="77777777" w:rsidR="003662C7" w:rsidRPr="00845440" w:rsidRDefault="003662C7" w:rsidP="00845440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Javasoljuk, hogy környezetül legsikeresebb turisztikai vállalkozóinak kommunikációjához külön is csatlakozzanak. Pl. egy sikeres szálláshely több ezer követőből álló közösségi oldalán, vagy honlapján megjelenés biztosan eléri pl. a szomszédos lovarda vagy étterem potenciális vendégeit.</w:t>
      </w:r>
    </w:p>
    <w:p w14:paraId="10BEF984" w14:textId="77777777" w:rsidR="00EF0126" w:rsidRDefault="00EF0126"/>
    <w:p w14:paraId="0976EC76" w14:textId="77777777" w:rsidR="003662C7" w:rsidRDefault="003662C7"/>
    <w:p w14:paraId="325A247D" w14:textId="77777777" w:rsidR="003662C7" w:rsidRDefault="003662C7"/>
    <w:p w14:paraId="47369D09" w14:textId="77777777" w:rsidR="003662C7" w:rsidRDefault="003662C7"/>
    <w:p w14:paraId="15334301" w14:textId="77777777" w:rsidR="00EF0126" w:rsidRDefault="003E44F3" w:rsidP="00366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minősítés módszere</w:t>
      </w:r>
    </w:p>
    <w:p w14:paraId="6A9E43F2" w14:textId="77777777" w:rsidR="003E44F3" w:rsidRDefault="003E44F3" w:rsidP="003E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minősítés két ütemben történik.</w:t>
      </w:r>
    </w:p>
    <w:p w14:paraId="54A178CC" w14:textId="77777777" w:rsidR="003E44F3" w:rsidRDefault="003E44F3" w:rsidP="003E4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 ütem során jelen pályázati projekt keretében maga a Zrínyi Zöldút térségi projekt gazda ad megbízást szakértő minősítésre.</w:t>
      </w:r>
    </w:p>
    <w:p w14:paraId="51A41ACD" w14:textId="77777777" w:rsidR="003E44F3" w:rsidRDefault="003E44F3" w:rsidP="003E4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követően a második ütemben már az érintettek önminősítése zajlik. Az önminősítés évente egy alkalommal történik (minden év február végén), de fejlesztéseket követően további időpontokban is lehetséges az önminősítés (aktualitás függvényében).</w:t>
      </w:r>
    </w:p>
    <w:p w14:paraId="1FA50B82" w14:textId="77777777" w:rsidR="003E44F3" w:rsidRDefault="003E44F3" w:rsidP="003E4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első, szakértői minősítés </w:t>
      </w:r>
      <w:r w:rsidR="00BE654D">
        <w:rPr>
          <w:rFonts w:ascii="Times New Roman" w:hAnsi="Times New Roman" w:cs="Times New Roman"/>
          <w:sz w:val="24"/>
          <w:szCs w:val="24"/>
        </w:rPr>
        <w:t>célja, hogy megállapításokat tegyen az adott partner helyszíni szemlekor tapasztalt adott</w:t>
      </w:r>
      <w:r w:rsidR="007A2E28">
        <w:rPr>
          <w:rFonts w:ascii="Times New Roman" w:hAnsi="Times New Roman" w:cs="Times New Roman"/>
          <w:sz w:val="24"/>
          <w:szCs w:val="24"/>
        </w:rPr>
        <w:t>ságairól, fejlesztési-fejlődési potenciáljáról. Utóbbiak értékelésekor a szakértő figyelembe veszi az objektív és a személyi adottságokat is, természetesen az érintett által megfogalmazott célok, tervek figyelembe vételével.</w:t>
      </w:r>
    </w:p>
    <w:p w14:paraId="19B73652" w14:textId="77777777" w:rsidR="007A2E28" w:rsidRDefault="007A2E28" w:rsidP="003E4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továbbiakban az önminősítés alapja a szakértői minősítésből kiindulva a csatolt, szakági minősítési rendszereknek megfelelés. </w:t>
      </w:r>
    </w:p>
    <w:p w14:paraId="24ABB531" w14:textId="77777777" w:rsidR="007A2E28" w:rsidRPr="003E44F3" w:rsidRDefault="007A2E28" w:rsidP="003E4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szakági minősítő rendszerek minősítését az egyes szakmai szervezetek (pl. FATOSZ, MLSZ) végzik, így végjegyük (pl. </w:t>
      </w:r>
      <w:proofErr w:type="gramStart"/>
      <w:r>
        <w:rPr>
          <w:rFonts w:ascii="Times New Roman" w:hAnsi="Times New Roman" w:cs="Times New Roman"/>
          <w:sz w:val="24"/>
          <w:szCs w:val="24"/>
        </w:rPr>
        <w:t>négy napraforgós,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öt patkós) megszerzése a Zrínyi Zöldút határkörén kívül áll. Ugyanakkor a Zöldút munkaszervezete feladata, hogy ezen minősítő rendszerek változásait kövesse, erről az érintett szolgáltatókat tájékoztassa, és szorgalmazza a minősítő védjegyek megszerzését, mert ezek garanciát jelentenek a hazai és külföldi utazók számára egyaránt.</w:t>
      </w:r>
    </w:p>
    <w:p w14:paraId="6A52E4A0" w14:textId="77777777" w:rsidR="003662C7" w:rsidRPr="003662C7" w:rsidRDefault="003662C7" w:rsidP="003662C7">
      <w:pPr>
        <w:rPr>
          <w:rFonts w:ascii="Times New Roman" w:hAnsi="Times New Roman" w:cs="Times New Roman"/>
          <w:sz w:val="24"/>
          <w:szCs w:val="24"/>
        </w:rPr>
      </w:pPr>
    </w:p>
    <w:sectPr w:rsidR="003662C7" w:rsidRPr="003662C7" w:rsidSect="0076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9C5"/>
    <w:multiLevelType w:val="hybridMultilevel"/>
    <w:tmpl w:val="5590C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27DE3"/>
    <w:multiLevelType w:val="multilevel"/>
    <w:tmpl w:val="978C44A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" w15:restartNumberingAfterBreak="0">
    <w:nsid w:val="509F3020"/>
    <w:multiLevelType w:val="hybridMultilevel"/>
    <w:tmpl w:val="01EAF07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8629563">
    <w:abstractNumId w:val="2"/>
  </w:num>
  <w:num w:numId="2" w16cid:durableId="1542208316">
    <w:abstractNumId w:val="0"/>
  </w:num>
  <w:num w:numId="3" w16cid:durableId="136466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8C"/>
    <w:rsid w:val="00052E2A"/>
    <w:rsid w:val="000B4F5B"/>
    <w:rsid w:val="0011246B"/>
    <w:rsid w:val="00142651"/>
    <w:rsid w:val="00192CB4"/>
    <w:rsid w:val="003101AA"/>
    <w:rsid w:val="003662C7"/>
    <w:rsid w:val="003D0D07"/>
    <w:rsid w:val="003E44F3"/>
    <w:rsid w:val="00410112"/>
    <w:rsid w:val="00496AAA"/>
    <w:rsid w:val="005531B9"/>
    <w:rsid w:val="006357DB"/>
    <w:rsid w:val="00652CEB"/>
    <w:rsid w:val="007005E7"/>
    <w:rsid w:val="00715A6C"/>
    <w:rsid w:val="0076496E"/>
    <w:rsid w:val="007825CB"/>
    <w:rsid w:val="007A2E28"/>
    <w:rsid w:val="008262D5"/>
    <w:rsid w:val="00845440"/>
    <w:rsid w:val="00895787"/>
    <w:rsid w:val="009935C2"/>
    <w:rsid w:val="009F5BF9"/>
    <w:rsid w:val="00A00377"/>
    <w:rsid w:val="00A72E02"/>
    <w:rsid w:val="00A77DCA"/>
    <w:rsid w:val="00AD6736"/>
    <w:rsid w:val="00AF7730"/>
    <w:rsid w:val="00BA1813"/>
    <w:rsid w:val="00BE1E23"/>
    <w:rsid w:val="00BE654D"/>
    <w:rsid w:val="00C02F56"/>
    <w:rsid w:val="00C50D4A"/>
    <w:rsid w:val="00CE1A8C"/>
    <w:rsid w:val="00D24CA8"/>
    <w:rsid w:val="00D36872"/>
    <w:rsid w:val="00D94918"/>
    <w:rsid w:val="00E33783"/>
    <w:rsid w:val="00E41265"/>
    <w:rsid w:val="00E64304"/>
    <w:rsid w:val="00EB7BED"/>
    <w:rsid w:val="00EF0126"/>
    <w:rsid w:val="00F46A3C"/>
    <w:rsid w:val="00F647C2"/>
    <w:rsid w:val="00F81200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CD55"/>
  <w15:docId w15:val="{F91CD516-6F62-470C-AC16-F26A928B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49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A8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A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Zsuzsi</cp:lastModifiedBy>
  <cp:revision>2</cp:revision>
  <cp:lastPrinted>2025-09-25T15:11:00Z</cp:lastPrinted>
  <dcterms:created xsi:type="dcterms:W3CDTF">2025-09-29T12:34:00Z</dcterms:created>
  <dcterms:modified xsi:type="dcterms:W3CDTF">2025-09-29T12:34:00Z</dcterms:modified>
</cp:coreProperties>
</file>